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Dotaz: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Žádost o informaci k financování výstavby budovy čp. 685 na náměstí v Boru.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Odpověď :</w:t>
      </w:r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b/>
          <w:bCs/>
          <w:color w:val="464646"/>
          <w:sz w:val="20"/>
          <w:szCs w:val="20"/>
          <w:lang w:eastAsia="cs-CZ"/>
        </w:rPr>
        <w:t xml:space="preserve">Městský úřad v Boru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b/>
          <w:bCs/>
          <w:color w:val="464646"/>
          <w:sz w:val="20"/>
          <w:szCs w:val="20"/>
          <w:lang w:eastAsia="cs-CZ"/>
        </w:rPr>
        <w:t xml:space="preserve">Náměstí Republiky 1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b/>
          <w:bCs/>
          <w:color w:val="464646"/>
          <w:sz w:val="20"/>
          <w:szCs w:val="20"/>
          <w:lang w:eastAsia="cs-CZ"/>
        </w:rPr>
        <w:t xml:space="preserve">348 02 Bor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Na Vaší žádost dle zákona č. 106/1999Sb., o svobodném přístupu k informacím posílám žádané údaje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o financování výstavby víceúčelového domu na náměstí v Boru.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Víceúčelový </w:t>
      </w:r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dům , náměstí</w:t>
      </w:r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 Republiky č. 685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3015" w:right="390" w:hanging="36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-</w:t>
      </w:r>
      <w:r w:rsidRPr="004E1DEF">
        <w:rPr>
          <w:rFonts w:ascii="Times New Roman" w:eastAsia="Times New Roman" w:hAnsi="Times New Roman" w:cs="Times New Roman"/>
          <w:color w:val="464646"/>
          <w:sz w:val="14"/>
          <w:szCs w:val="14"/>
          <w:lang w:eastAsia="cs-CZ"/>
        </w:rPr>
        <w:t xml:space="preserve"> </w:t>
      </w: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záměr, příprava PD výstavby byl od roku 2002-2009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3015" w:right="390" w:hanging="36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-</w:t>
      </w:r>
      <w:r w:rsidRPr="004E1DEF">
        <w:rPr>
          <w:rFonts w:ascii="Times New Roman" w:eastAsia="Times New Roman" w:hAnsi="Times New Roman" w:cs="Times New Roman"/>
          <w:color w:val="464646"/>
          <w:sz w:val="14"/>
          <w:szCs w:val="14"/>
          <w:lang w:eastAsia="cs-CZ"/>
        </w:rPr>
        <w:t xml:space="preserve"> </w:t>
      </w: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realizace rok 2009-2011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Náklady </w:t>
      </w:r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výstavby :</w:t>
      </w:r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PD/2002 zpracování dílčích etap PD 98.500,- 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PD/2007 studie novostavby s veřejným WC 129.472,- 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PD/2008 PD k územnímu řízení - přeložkou O2 4.760,- 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PD/2009 PD k provedení stavby 654.500,- 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ČEZ/ Přeložka zařízení distribuční soustavy 246.900,- 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Přeložka O2 14.280,-Kč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Stavba 11.381.660,-Kč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Autorský dozor , </w:t>
      </w:r>
      <w:proofErr w:type="spellStart"/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inž.činnost</w:t>
      </w:r>
      <w:proofErr w:type="spellEnd"/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, 180.051,-Kč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Technický dozor 162.000,-Kč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bookmarkStart w:id="0" w:name="_GoBack"/>
      <w:bookmarkEnd w:id="0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----------------------------------------------------------------------------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Investiční akce </w:t>
      </w:r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celkem : 12.872.123,</w:t>
      </w:r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-Kč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Víceúčelový </w:t>
      </w:r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dům , náměstí</w:t>
      </w:r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 Republiky č.685 , byl pořízen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pouze z finančních prostředků města.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V Boru dne </w:t>
      </w:r>
      <w:proofErr w:type="gram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19.7.2012</w:t>
      </w:r>
      <w:proofErr w:type="gram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Jaroslav Havlíček </w:t>
      </w:r>
    </w:p>
    <w:p w:rsidR="004E1DEF" w:rsidRPr="004E1DEF" w:rsidRDefault="004E1DEF" w:rsidP="004E1DEF">
      <w:pPr>
        <w:shd w:val="clear" w:color="auto" w:fill="F2F2F2"/>
        <w:spacing w:before="240" w:after="240" w:line="240" w:lineRule="auto"/>
        <w:ind w:left="2535" w:right="390"/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</w:pPr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Tajemník </w:t>
      </w:r>
      <w:proofErr w:type="spellStart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>MěÚ</w:t>
      </w:r>
      <w:proofErr w:type="spellEnd"/>
      <w:r w:rsidRPr="004E1DEF">
        <w:rPr>
          <w:rFonts w:ascii="Trebuchet MS" w:eastAsia="Times New Roman" w:hAnsi="Trebuchet MS" w:cs="Times New Roman"/>
          <w:color w:val="464646"/>
          <w:sz w:val="20"/>
          <w:szCs w:val="20"/>
          <w:lang w:eastAsia="cs-CZ"/>
        </w:rPr>
        <w:t xml:space="preserve"> Bor </w:t>
      </w:r>
    </w:p>
    <w:p w:rsidR="00C050DA" w:rsidRDefault="00C050DA"/>
    <w:sectPr w:rsidR="00C0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F"/>
    <w:rsid w:val="004E1DEF"/>
    <w:rsid w:val="00C0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57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4782">
                  <w:marLeft w:val="21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1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70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24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464646"/>
                                        <w:left w:val="single" w:sz="6" w:space="0" w:color="464646"/>
                                        <w:bottom w:val="single" w:sz="6" w:space="0" w:color="464646"/>
                                        <w:right w:val="single" w:sz="6" w:space="0" w:color="464646"/>
                                      </w:divBdr>
                                      <w:divsChild>
                                        <w:div w:id="1140342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0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Vláďa</dc:creator>
  <cp:lastModifiedBy>Vláďa</cp:lastModifiedBy>
  <cp:revision>1</cp:revision>
  <dcterms:created xsi:type="dcterms:W3CDTF">2012-07-19T15:11:00Z</dcterms:created>
  <dcterms:modified xsi:type="dcterms:W3CDTF">2012-07-19T15:12:00Z</dcterms:modified>
</cp:coreProperties>
</file>